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70" w:rsidRPr="00802370" w:rsidRDefault="00802370" w:rsidP="00802370">
      <w:pPr>
        <w:shd w:val="clear" w:color="auto" w:fill="222222"/>
        <w:spacing w:after="225" w:line="540" w:lineRule="atLeast"/>
        <w:jc w:val="left"/>
        <w:outlineLvl w:val="0"/>
        <w:rPr>
          <w:rFonts w:ascii="Arial" w:eastAsia="Times New Roman" w:hAnsi="Arial" w:cs="Arial"/>
          <w:kern w:val="36"/>
          <w:szCs w:val="28"/>
          <w:lang w:eastAsia="ru-RU"/>
        </w:rPr>
      </w:pPr>
      <w:r w:rsidRPr="00802370">
        <w:rPr>
          <w:rFonts w:ascii="Arial" w:eastAsia="Times New Roman" w:hAnsi="Arial" w:cs="Arial"/>
          <w:kern w:val="36"/>
          <w:szCs w:val="28"/>
          <w:lang w:eastAsia="ru-RU"/>
        </w:rPr>
        <w:t>Шарниры неравных угловых скоростей</w:t>
      </w:r>
    </w:p>
    <w:p w:rsidR="00802370" w:rsidRPr="00802370" w:rsidRDefault="00802370" w:rsidP="00802370">
      <w:pPr>
        <w:shd w:val="clear" w:color="auto" w:fill="222222"/>
        <w:spacing w:before="225" w:after="225" w:line="240" w:lineRule="auto"/>
        <w:rPr>
          <w:rFonts w:ascii="Arial" w:eastAsia="Times New Roman" w:hAnsi="Arial" w:cs="Arial"/>
          <w:szCs w:val="28"/>
          <w:lang w:eastAsia="ru-RU"/>
        </w:rPr>
      </w:pPr>
      <w:r w:rsidRPr="00802370">
        <w:rPr>
          <w:rFonts w:ascii="Arial" w:eastAsia="Times New Roman" w:hAnsi="Arial" w:cs="Arial"/>
          <w:b/>
          <w:bCs/>
          <w:szCs w:val="28"/>
          <w:lang w:eastAsia="ru-RU"/>
        </w:rPr>
        <w:t>Карданные шарниры неравных угловых скоростей </w:t>
      </w:r>
      <w:r w:rsidRPr="00802370">
        <w:rPr>
          <w:rFonts w:ascii="Arial" w:eastAsia="Times New Roman" w:hAnsi="Arial" w:cs="Arial"/>
          <w:szCs w:val="28"/>
          <w:lang w:eastAsia="ru-RU"/>
        </w:rPr>
        <w:t>применяются в карданных передачах </w:t>
      </w:r>
      <w:r w:rsidRPr="00802370">
        <w:rPr>
          <w:rFonts w:ascii="Arial" w:eastAsia="Times New Roman" w:hAnsi="Arial" w:cs="Arial"/>
          <w:b/>
          <w:bCs/>
          <w:szCs w:val="28"/>
          <w:lang w:eastAsia="ru-RU"/>
        </w:rPr>
        <w:t>для передачи крутящего момента от коробки передач </w:t>
      </w:r>
      <w:r w:rsidRPr="00802370">
        <w:rPr>
          <w:rFonts w:ascii="Arial" w:eastAsia="Times New Roman" w:hAnsi="Arial" w:cs="Arial"/>
          <w:szCs w:val="28"/>
          <w:lang w:eastAsia="ru-RU"/>
        </w:rPr>
        <w:t>(раздаточной коробки) </w:t>
      </w:r>
      <w:r w:rsidRPr="00802370">
        <w:rPr>
          <w:rFonts w:ascii="Arial" w:eastAsia="Times New Roman" w:hAnsi="Arial" w:cs="Arial"/>
          <w:b/>
          <w:bCs/>
          <w:szCs w:val="28"/>
          <w:lang w:eastAsia="ru-RU"/>
        </w:rPr>
        <w:t>на главную передачу </w:t>
      </w:r>
      <w:r w:rsidRPr="00802370">
        <w:rPr>
          <w:rFonts w:ascii="Arial" w:eastAsia="Times New Roman" w:hAnsi="Arial" w:cs="Arial"/>
          <w:szCs w:val="28"/>
          <w:lang w:eastAsia="ru-RU"/>
        </w:rPr>
        <w:t>ведущего моста под постоянно изменяющимся углом.</w:t>
      </w:r>
      <w:r w:rsidRPr="00802370">
        <w:rPr>
          <w:rFonts w:ascii="Arial" w:eastAsia="Times New Roman" w:hAnsi="Arial" w:cs="Arial"/>
          <w:szCs w:val="28"/>
          <w:lang w:eastAsia="ru-RU"/>
        </w:rPr>
        <w:br/>
        <w:t>Карданный шарнир неравных угловых скоростей отличается тем, что при равномерном вращении ведущего вала скорость ведомого вала постоянно изменяется. За один оборот карданного вала ведомая вилка при вращении дважды обгоняет ведущую и дважды отстает от нее. Вследствие неравномерности возникают дополнительные нагрузки на детали механизмов ведущего моста, увеличивая интенсивность изнашивания.</w:t>
      </w:r>
      <w:r w:rsidRPr="00802370">
        <w:rPr>
          <w:rFonts w:ascii="Arial" w:eastAsia="Times New Roman" w:hAnsi="Arial" w:cs="Arial"/>
          <w:b/>
          <w:bCs/>
          <w:szCs w:val="28"/>
          <w:lang w:eastAsia="ru-RU"/>
        </w:rPr>
        <w:t> Чтобы устранить неравномерность вращения</w:t>
      </w:r>
      <w:r w:rsidRPr="00802370">
        <w:rPr>
          <w:rFonts w:ascii="Arial" w:eastAsia="Times New Roman" w:hAnsi="Arial" w:cs="Arial"/>
          <w:szCs w:val="28"/>
          <w:lang w:eastAsia="ru-RU"/>
        </w:rPr>
        <w:t> ведомой части, </w:t>
      </w:r>
      <w:r w:rsidRPr="00802370">
        <w:rPr>
          <w:rFonts w:ascii="Arial" w:eastAsia="Times New Roman" w:hAnsi="Arial" w:cs="Arial"/>
          <w:b/>
          <w:bCs/>
          <w:szCs w:val="28"/>
          <w:lang w:eastAsia="ru-RU"/>
        </w:rPr>
        <w:t>устанавливают несколько карданных шарниров</w:t>
      </w:r>
      <w:r w:rsidRPr="00802370">
        <w:rPr>
          <w:rFonts w:ascii="Arial" w:eastAsia="Times New Roman" w:hAnsi="Arial" w:cs="Arial"/>
          <w:szCs w:val="28"/>
          <w:lang w:eastAsia="ru-RU"/>
        </w:rPr>
        <w:t xml:space="preserve"> (в автомобиле ЗИЛ их три). </w:t>
      </w:r>
      <w:proofErr w:type="gramStart"/>
      <w:r w:rsidRPr="00802370">
        <w:rPr>
          <w:rFonts w:ascii="Arial" w:eastAsia="Times New Roman" w:hAnsi="Arial" w:cs="Arial"/>
          <w:szCs w:val="28"/>
          <w:lang w:eastAsia="ru-RU"/>
        </w:rPr>
        <w:t>Для компенсаций осевых удлиненный используют шлицевое соединение одной из вилок карданного шарнира с валом.</w:t>
      </w:r>
      <w:proofErr w:type="gramEnd"/>
      <w:r w:rsidRPr="00802370">
        <w:rPr>
          <w:rFonts w:ascii="Arial" w:eastAsia="Times New Roman" w:hAnsi="Arial" w:cs="Arial"/>
          <w:szCs w:val="28"/>
          <w:lang w:eastAsia="ru-RU"/>
        </w:rPr>
        <w:t> </w:t>
      </w:r>
      <w:r w:rsidRPr="00802370">
        <w:rPr>
          <w:rFonts w:ascii="Arial" w:eastAsia="Times New Roman" w:hAnsi="Arial" w:cs="Arial"/>
          <w:b/>
          <w:bCs/>
          <w:szCs w:val="28"/>
          <w:lang w:eastAsia="ru-RU"/>
        </w:rPr>
        <w:t>Промежуточная опора снижает вибрацию</w:t>
      </w:r>
      <w:r w:rsidRPr="00802370">
        <w:rPr>
          <w:rFonts w:ascii="Arial" w:eastAsia="Times New Roman" w:hAnsi="Arial" w:cs="Arial"/>
          <w:szCs w:val="28"/>
          <w:lang w:eastAsia="ru-RU"/>
        </w:rPr>
        <w:t> и предотвращает возникновение нагрузок в промежуточном валу, которые возникают из-за неточности монтажа опоры и деформации рамы.</w:t>
      </w:r>
    </w:p>
    <w:tbl>
      <w:tblPr>
        <w:tblpPr w:leftFromText="495" w:rightFromText="45" w:vertAnchor="text" w:tblpXSpec="right" w:tblpYSpec="center"/>
        <w:tblW w:w="66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22222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58"/>
      </w:tblGrid>
      <w:tr w:rsidR="00802370" w:rsidRPr="00802370" w:rsidTr="00802370">
        <w:trPr>
          <w:trHeight w:val="50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22222"/>
            <w:vAlign w:val="center"/>
            <w:hideMark/>
          </w:tcPr>
          <w:p w:rsidR="00802370" w:rsidRPr="00802370" w:rsidRDefault="00802370" w:rsidP="00802370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hyperlink r:id="rId4" w:history="1">
              <w:r w:rsidRPr="00802370">
                <w:rPr>
                  <w:rFonts w:ascii="Book Antiqua" w:eastAsia="Times New Roman" w:hAnsi="Book Antiqua" w:cs="Arial"/>
                  <w:szCs w:val="28"/>
                  <w:u w:val="single"/>
                  <w:lang w:eastAsia="ru-RU"/>
                </w:rPr>
                <w:t>Шарниры равных угловых скоростей</w:t>
              </w:r>
            </w:hyperlink>
          </w:p>
          <w:p w:rsidR="00802370" w:rsidRPr="00802370" w:rsidRDefault="00802370" w:rsidP="00802370">
            <w:pPr>
              <w:spacing w:before="225" w:after="225" w:line="240" w:lineRule="auto"/>
              <w:jc w:val="left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802370">
              <w:rPr>
                <w:rFonts w:ascii="Book Antiqua" w:eastAsia="Times New Roman" w:hAnsi="Book Antiqua" w:cs="Arial"/>
                <w:noProof/>
                <w:szCs w:val="28"/>
                <w:lang w:eastAsia="ru-RU"/>
              </w:rPr>
              <w:drawing>
                <wp:inline distT="0" distB="0" distL="0" distR="0">
                  <wp:extent cx="2895600" cy="857250"/>
                  <wp:effectExtent l="19050" t="0" r="0" b="0"/>
                  <wp:docPr id="1" name="Рисунок 1" descr="Схема привода передних колес. Устройство и описание">
                    <a:hlinkClick xmlns:a="http://schemas.openxmlformats.org/drawingml/2006/main" r:id="rId4" tooltip="Шарниры равных угловых скоростей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хема привода передних колес. Устройство и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2370" w:rsidRPr="00802370" w:rsidRDefault="00802370" w:rsidP="00802370">
            <w:pPr>
              <w:spacing w:line="330" w:lineRule="atLeast"/>
              <w:jc w:val="lef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</w:tr>
    </w:tbl>
    <w:p w:rsidR="00802370" w:rsidRPr="00802370" w:rsidRDefault="00802370" w:rsidP="00802370">
      <w:pPr>
        <w:shd w:val="clear" w:color="auto" w:fill="222222"/>
        <w:spacing w:before="225" w:after="225" w:line="240" w:lineRule="auto"/>
        <w:jc w:val="left"/>
        <w:rPr>
          <w:rFonts w:ascii="Arial" w:eastAsia="Times New Roman" w:hAnsi="Arial" w:cs="Arial"/>
          <w:szCs w:val="28"/>
          <w:lang w:eastAsia="ru-RU"/>
        </w:rPr>
      </w:pPr>
      <w:r w:rsidRPr="00802370">
        <w:rPr>
          <w:rFonts w:ascii="Arial" w:eastAsia="Times New Roman" w:hAnsi="Arial" w:cs="Arial"/>
          <w:szCs w:val="28"/>
          <w:lang w:eastAsia="ru-RU"/>
        </w:rPr>
        <w:t> </w:t>
      </w:r>
    </w:p>
    <w:p w:rsidR="00802370" w:rsidRPr="00802370" w:rsidRDefault="00802370" w:rsidP="00802370">
      <w:pPr>
        <w:shd w:val="clear" w:color="auto" w:fill="222222"/>
        <w:spacing w:before="225" w:after="225" w:line="240" w:lineRule="auto"/>
        <w:jc w:val="left"/>
        <w:rPr>
          <w:rFonts w:ascii="Arial" w:eastAsia="Times New Roman" w:hAnsi="Arial" w:cs="Arial"/>
          <w:szCs w:val="28"/>
          <w:lang w:eastAsia="ru-RU"/>
        </w:rPr>
      </w:pPr>
      <w:r w:rsidRPr="00802370">
        <w:rPr>
          <w:rFonts w:ascii="Arial" w:eastAsia="Times New Roman" w:hAnsi="Arial" w:cs="Arial"/>
          <w:noProof/>
          <w:szCs w:val="28"/>
          <w:lang w:eastAsia="ru-RU"/>
        </w:rPr>
        <w:drawing>
          <wp:inline distT="0" distB="0" distL="0" distR="0">
            <wp:extent cx="4591050" cy="3181350"/>
            <wp:effectExtent l="19050" t="0" r="0" b="0"/>
            <wp:docPr id="6" name="Рисунок 6" descr="Шарниры неравных угловых скоростей">
              <a:hlinkClick xmlns:a="http://schemas.openxmlformats.org/drawingml/2006/main" r:id="rId6" tooltip="&quot;Карданная передача автомобил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Шарниры неравных угловых скоростей">
                      <a:hlinkClick r:id="rId6" tooltip="&quot;Карданная передача автомобил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370" w:rsidRPr="00802370" w:rsidRDefault="00802370" w:rsidP="00802370">
      <w:pPr>
        <w:shd w:val="clear" w:color="auto" w:fill="222222"/>
        <w:spacing w:before="225" w:after="225" w:line="240" w:lineRule="auto"/>
        <w:jc w:val="left"/>
        <w:rPr>
          <w:rFonts w:ascii="Arial" w:eastAsia="Times New Roman" w:hAnsi="Arial" w:cs="Arial"/>
          <w:szCs w:val="28"/>
          <w:lang w:eastAsia="ru-RU"/>
        </w:rPr>
      </w:pPr>
      <w:r w:rsidRPr="00802370">
        <w:rPr>
          <w:rFonts w:ascii="Arial" w:eastAsia="Times New Roman" w:hAnsi="Arial" w:cs="Arial"/>
          <w:szCs w:val="28"/>
          <w:lang w:eastAsia="ru-RU"/>
        </w:rPr>
        <w:t> </w:t>
      </w:r>
    </w:p>
    <w:p w:rsidR="00802370" w:rsidRPr="00802370" w:rsidRDefault="00802370" w:rsidP="00802370">
      <w:pPr>
        <w:shd w:val="clear" w:color="auto" w:fill="222222"/>
        <w:spacing w:before="375" w:after="225" w:line="240" w:lineRule="auto"/>
        <w:outlineLvl w:val="1"/>
        <w:rPr>
          <w:rFonts w:ascii="Arial" w:eastAsia="Times New Roman" w:hAnsi="Arial" w:cs="Arial"/>
          <w:szCs w:val="28"/>
          <w:lang w:eastAsia="ru-RU"/>
        </w:rPr>
      </w:pPr>
      <w:r w:rsidRPr="00802370">
        <w:rPr>
          <w:rFonts w:ascii="Arial" w:eastAsia="Times New Roman" w:hAnsi="Arial" w:cs="Arial"/>
          <w:b/>
          <w:bCs/>
          <w:szCs w:val="28"/>
          <w:lang w:eastAsia="ru-RU"/>
        </w:rPr>
        <w:t>Карданные шарниры неравных угловых скоростей:</w:t>
      </w:r>
    </w:p>
    <w:p w:rsidR="00802370" w:rsidRPr="00802370" w:rsidRDefault="00802370" w:rsidP="00802370">
      <w:pPr>
        <w:shd w:val="clear" w:color="auto" w:fill="222222"/>
        <w:spacing w:before="225" w:after="225" w:line="240" w:lineRule="auto"/>
        <w:rPr>
          <w:rFonts w:ascii="Arial" w:eastAsia="Times New Roman" w:hAnsi="Arial" w:cs="Arial"/>
          <w:szCs w:val="28"/>
          <w:lang w:eastAsia="ru-RU"/>
        </w:rPr>
      </w:pPr>
      <w:proofErr w:type="gramStart"/>
      <w:r w:rsidRPr="00802370">
        <w:rPr>
          <w:rFonts w:ascii="Arial" w:eastAsia="Times New Roman" w:hAnsi="Arial" w:cs="Arial"/>
          <w:szCs w:val="28"/>
          <w:lang w:eastAsia="ru-RU"/>
        </w:rPr>
        <w:lastRenderedPageBreak/>
        <w:t xml:space="preserve">а—в — неравных угловых скоростей; г и </w:t>
      </w:r>
      <w:proofErr w:type="spellStart"/>
      <w:r w:rsidRPr="00802370">
        <w:rPr>
          <w:rFonts w:ascii="Arial" w:eastAsia="Times New Roman" w:hAnsi="Arial" w:cs="Arial"/>
          <w:szCs w:val="28"/>
          <w:lang w:eastAsia="ru-RU"/>
        </w:rPr>
        <w:t>д</w:t>
      </w:r>
      <w:proofErr w:type="spellEnd"/>
      <w:r w:rsidRPr="00802370">
        <w:rPr>
          <w:rFonts w:ascii="Arial" w:eastAsia="Times New Roman" w:hAnsi="Arial" w:cs="Arial"/>
          <w:szCs w:val="28"/>
          <w:lang w:eastAsia="ru-RU"/>
        </w:rPr>
        <w:t xml:space="preserve"> — равных угловых скоростей; 1, 2, 24 и 28— вилки; 2— карданный вал; 3— крышка; 4— стопорная пластина; 5— стакан подшипника; 6— иголки; 7— войлочные уплотнения; 8— масленка; 9— крестовина; 10 — предохранительный клапан; 12 — отражатель; 13 — </w:t>
      </w:r>
      <w:proofErr w:type="spellStart"/>
      <w:r w:rsidRPr="00802370">
        <w:rPr>
          <w:rFonts w:ascii="Arial" w:eastAsia="Times New Roman" w:hAnsi="Arial" w:cs="Arial"/>
          <w:szCs w:val="28"/>
          <w:lang w:eastAsia="ru-RU"/>
        </w:rPr>
        <w:t>самоподжимная</w:t>
      </w:r>
      <w:proofErr w:type="spellEnd"/>
      <w:r w:rsidRPr="00802370">
        <w:rPr>
          <w:rFonts w:ascii="Arial" w:eastAsia="Times New Roman" w:hAnsi="Arial" w:cs="Arial"/>
          <w:szCs w:val="28"/>
          <w:lang w:eastAsia="ru-RU"/>
        </w:rPr>
        <w:t xml:space="preserve"> уплотнительная манжета; 14 — стопорное кольцо; 15 и 16 — радиальные и торцевые уплотнительные манжеты;</w:t>
      </w:r>
      <w:proofErr w:type="gramEnd"/>
      <w:r w:rsidRPr="00802370">
        <w:rPr>
          <w:rFonts w:ascii="Arial" w:eastAsia="Times New Roman" w:hAnsi="Arial" w:cs="Arial"/>
          <w:szCs w:val="28"/>
          <w:lang w:eastAsia="ru-RU"/>
        </w:rPr>
        <w:t xml:space="preserve"> 17— ведущие шарики; 18— наружный кулак; 19— центральный шарик; 20— внутренний кулак; 21 — штифт; 22— шпилька; 23— полуось; 25 и 27— полуцилиндрические кулаки; 26 — центральный диск.</w:t>
      </w:r>
    </w:p>
    <w:p w:rsidR="00624B23" w:rsidRPr="00802370" w:rsidRDefault="00802370">
      <w:pPr>
        <w:rPr>
          <w:szCs w:val="28"/>
        </w:rPr>
      </w:pPr>
    </w:p>
    <w:sectPr w:rsidR="00624B23" w:rsidRPr="00802370" w:rsidSect="00832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370"/>
    <w:rsid w:val="00281712"/>
    <w:rsid w:val="0056326C"/>
    <w:rsid w:val="00802370"/>
    <w:rsid w:val="00832075"/>
    <w:rsid w:val="008C5C9A"/>
    <w:rsid w:val="00C720CA"/>
    <w:rsid w:val="00F532B8"/>
    <w:rsid w:val="00FE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75"/>
  </w:style>
  <w:style w:type="paragraph" w:styleId="1">
    <w:name w:val="heading 1"/>
    <w:basedOn w:val="a"/>
    <w:link w:val="10"/>
    <w:uiPriority w:val="9"/>
    <w:qFormat/>
    <w:rsid w:val="00802370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2370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37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2370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237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370"/>
    <w:rPr>
      <w:b/>
      <w:bCs/>
    </w:rPr>
  </w:style>
  <w:style w:type="character" w:customStyle="1" w:styleId="apple-converted-space">
    <w:name w:val="apple-converted-space"/>
    <w:basedOn w:val="a0"/>
    <w:rsid w:val="00802370"/>
  </w:style>
  <w:style w:type="character" w:styleId="a5">
    <w:name w:val="Hyperlink"/>
    <w:basedOn w:val="a0"/>
    <w:uiPriority w:val="99"/>
    <w:semiHidden/>
    <w:unhideWhenUsed/>
    <w:rsid w:val="008023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32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toezda.com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autoezda.com/transmission/101-sharnirrr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ГБПОУ НСХТ</dc:creator>
  <cp:lastModifiedBy>ГБПОУ НСХТ</cp:lastModifiedBy>
  <cp:revision>2</cp:revision>
  <dcterms:created xsi:type="dcterms:W3CDTF">2020-05-06T06:50:00Z</dcterms:created>
  <dcterms:modified xsi:type="dcterms:W3CDTF">2020-05-06T06:51:00Z</dcterms:modified>
</cp:coreProperties>
</file>